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rPr>
          <w:b w:val="1"/>
          <w:bCs w:val="1"/>
          <w:sz w:val="28"/>
          <w:szCs w:val="28"/>
        </w:rPr>
      </w:pPr>
      <w:r>
        <w:drawing xmlns:a="http://schemas.openxmlformats.org/drawingml/2006/main">
          <wp:anchor distT="152400" distB="152400" distL="152400" distR="152400" simplePos="0" relativeHeight="251659264" behindDoc="0" locked="0" layoutInCell="1" allowOverlap="1">
            <wp:simplePos x="0" y="0"/>
            <wp:positionH relativeFrom="margin">
              <wp:posOffset>1780222</wp:posOffset>
            </wp:positionH>
            <wp:positionV relativeFrom="page">
              <wp:posOffset>457200</wp:posOffset>
            </wp:positionV>
            <wp:extent cx="2797178" cy="1022350"/>
            <wp:effectExtent l="0" t="0" r="0" b="0"/>
            <wp:wrapTopAndBottom distT="152400" distB="152400"/>
            <wp:docPr id="1073741825" name="officeArt object" descr="BFCC long logo v4 small.png"/>
            <wp:cNvGraphicFramePr/>
            <a:graphic xmlns:a="http://schemas.openxmlformats.org/drawingml/2006/main">
              <a:graphicData uri="http://schemas.openxmlformats.org/drawingml/2006/picture">
                <pic:pic xmlns:pic="http://schemas.openxmlformats.org/drawingml/2006/picture">
                  <pic:nvPicPr>
                    <pic:cNvPr id="1073741825" name="BFCC long logo v4 small.png" descr="BFCC long logo v4 small.png"/>
                    <pic:cNvPicPr>
                      <a:picLocks noChangeAspect="1"/>
                    </pic:cNvPicPr>
                  </pic:nvPicPr>
                  <pic:blipFill>
                    <a:blip r:embed="rId4">
                      <a:extLst/>
                    </a:blip>
                    <a:srcRect l="428" t="0" r="421" b="0"/>
                    <a:stretch>
                      <a:fillRect/>
                    </a:stretch>
                  </pic:blipFill>
                  <pic:spPr>
                    <a:xfrm>
                      <a:off x="0" y="0"/>
                      <a:ext cx="2797178" cy="1022350"/>
                    </a:xfrm>
                    <a:prstGeom prst="rect">
                      <a:avLst/>
                    </a:prstGeom>
                    <a:ln w="12700" cap="flat">
                      <a:noFill/>
                      <a:miter lim="400000"/>
                    </a:ln>
                    <a:effectLst/>
                  </pic:spPr>
                </pic:pic>
              </a:graphicData>
            </a:graphic>
          </wp:anchor>
        </w:drawing>
      </w:r>
      <w:r>
        <w:rPr>
          <w:b w:val="1"/>
          <w:bCs w:val="1"/>
          <w:sz w:val="28"/>
          <w:szCs w:val="28"/>
          <w:rtl w:val="0"/>
          <w:lang w:val="en-US"/>
        </w:rPr>
        <w:t>READ GENESIS 26:1-35</w:t>
      </w:r>
    </w:p>
    <w:p>
      <w:pPr>
        <w:pStyle w:val="Body A"/>
        <w:rPr>
          <w:b w:val="1"/>
          <w:bCs w:val="1"/>
          <w:sz w:val="28"/>
          <w:szCs w:val="28"/>
        </w:rPr>
      </w:pPr>
    </w:p>
    <w:p>
      <w:pPr>
        <w:pStyle w:val="Body A"/>
      </w:pPr>
      <w:r>
        <w:rPr>
          <w:rtl w:val="0"/>
        </w:rPr>
        <w:t xml:space="preserve">1. What did you learn from the sermon and or Word Like Fire? </w:t>
      </w:r>
    </w:p>
    <w:p>
      <w:pPr>
        <w:pStyle w:val="Body A"/>
      </w:pPr>
    </w:p>
    <w:p>
      <w:pPr>
        <w:pStyle w:val="Body A"/>
      </w:pPr>
    </w:p>
    <w:p>
      <w:pPr>
        <w:pStyle w:val="Body A"/>
      </w:pPr>
    </w:p>
    <w:p>
      <w:pPr>
        <w:pStyle w:val="Body A"/>
      </w:pPr>
      <w:r>
        <w:rPr>
          <w:rtl w:val="0"/>
        </w:rPr>
        <w:t xml:space="preserve">2. What did Isaac do when God told him not to go to Egypt even during the famine? How have you responded either faithfully or unfaithfully in times of crisis? </w:t>
      </w:r>
    </w:p>
    <w:p>
      <w:pPr>
        <w:pStyle w:val="Body A"/>
      </w:pPr>
    </w:p>
    <w:p>
      <w:pPr>
        <w:pStyle w:val="Body A"/>
      </w:pPr>
    </w:p>
    <w:p>
      <w:pPr>
        <w:pStyle w:val="Body A"/>
      </w:pPr>
    </w:p>
    <w:p>
      <w:pPr>
        <w:pStyle w:val="Body A"/>
      </w:pPr>
      <w:r>
        <w:rPr>
          <w:rtl w:val="0"/>
        </w:rPr>
        <w:t xml:space="preserve">3. Compare and contrast Isaac's failure to protect Rebekah with Abraham's similar failure in ch. 20. How might you be either repeating or out growing some of the mistakes your parents made? </w:t>
      </w:r>
    </w:p>
    <w:p>
      <w:pPr>
        <w:pStyle w:val="Body A"/>
      </w:pPr>
    </w:p>
    <w:p>
      <w:pPr>
        <w:pStyle w:val="Body A"/>
      </w:pPr>
    </w:p>
    <w:p>
      <w:pPr>
        <w:pStyle w:val="Body A"/>
      </w:pPr>
    </w:p>
    <w:p>
      <w:pPr>
        <w:pStyle w:val="Body A"/>
      </w:pPr>
    </w:p>
    <w:p>
      <w:pPr>
        <w:pStyle w:val="Body A"/>
      </w:pPr>
      <w:r>
        <w:rPr>
          <w:rtl w:val="0"/>
        </w:rPr>
        <w:t xml:space="preserve">4. It what ways do you see God being faithful to Isaac amidst his failure? How does hindsight of God's faithfulness impact your desire to live faithfully now? </w:t>
      </w:r>
    </w:p>
    <w:p>
      <w:pPr>
        <w:pStyle w:val="Body A"/>
      </w:pPr>
    </w:p>
    <w:p>
      <w:pPr>
        <w:pStyle w:val="Body A"/>
      </w:pPr>
    </w:p>
    <w:p>
      <w:pPr>
        <w:pStyle w:val="Body A"/>
      </w:pPr>
    </w:p>
    <w:p>
      <w:pPr>
        <w:pStyle w:val="Body A"/>
      </w:pPr>
    </w:p>
    <w:p>
      <w:pPr>
        <w:pStyle w:val="Body A"/>
      </w:pPr>
      <w:r>
        <w:rPr>
          <w:rtl w:val="0"/>
        </w:rPr>
        <w:t xml:space="preserve">5. What do you think of Isaac continuing to move away from the conflict rather than fight in this case? Are there times where you might be best off to just move on and away from an injustice? </w:t>
      </w:r>
    </w:p>
    <w:p>
      <w:pPr>
        <w:pStyle w:val="Body A"/>
      </w:pPr>
    </w:p>
    <w:p>
      <w:pPr>
        <w:pStyle w:val="Body A"/>
      </w:pPr>
    </w:p>
    <w:p>
      <w:pPr>
        <w:pStyle w:val="Body A"/>
      </w:pPr>
    </w:p>
    <w:p>
      <w:pPr>
        <w:pStyle w:val="Body A"/>
      </w:pPr>
    </w:p>
    <w:p>
      <w:pPr>
        <w:pStyle w:val="Body A"/>
      </w:pPr>
      <w:r>
        <w:rPr>
          <w:rtl w:val="0"/>
        </w:rPr>
        <w:t xml:space="preserve">6. How does knowing how faithful God is empower us to entrust Him with unresolved injustices against us or others? How did Jesus do the very same for us? </w:t>
      </w:r>
    </w:p>
    <w:p>
      <w:pPr>
        <w:pStyle w:val="Body A"/>
      </w:pPr>
    </w:p>
    <w:p>
      <w:pPr>
        <w:pStyle w:val="Body A"/>
      </w:pPr>
    </w:p>
    <w:p>
      <w:pPr>
        <w:pStyle w:val="Body A"/>
      </w:pPr>
    </w:p>
    <w:p>
      <w:pPr>
        <w:pStyle w:val="Body A"/>
      </w:pPr>
    </w:p>
    <w:p>
      <w:pPr>
        <w:pStyle w:val="Body A"/>
      </w:pPr>
      <w:r>
        <w:rPr>
          <w:b w:val="1"/>
          <w:bCs w:val="1"/>
          <w:rtl w:val="0"/>
          <w:lang w:val="en-US"/>
        </w:rPr>
        <w:t>Prayer Focus:</w:t>
      </w:r>
      <w:r>
        <w:rPr>
          <w:rtl w:val="0"/>
        </w:rPr>
        <w:t xml:space="preserve"> Let's pray that we would trust God's faithfulness in times of failure and/or opposition. </w:t>
      </w:r>
    </w:p>
    <w:sectPr>
      <w:headerReference w:type="default" r:id="rId5"/>
      <w:footerReference w:type="default" r:id="rId6"/>
      <w:pgSz w:w="12240" w:h="15840" w:orient="portrait"/>
      <w:pgMar w:top="720" w:right="720" w:bottom="720" w:left="72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6"/>
      <w:szCs w:val="26"/>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